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ind w:firstLine="720"/>
        <w:rPr/>
      </w:pPr>
      <w:r>
        <w:rPr/>
        <w:t xml:space="preserve">Happy New Year! </w:t>
        <w:tab/>
        <w:t>The pay stub for your Pleasure Point POA dues of $60.00 can be found on the next page. As a POA we have the right to impose late fees if dues are not paid in a timely manner. We clearly would prefer not to be put in that position. Please note the deadline for payment.</w:t>
      </w:r>
    </w:p>
    <w:p>
      <w:pPr>
        <w:pStyle w:val="Normal"/>
        <w:rPr/>
      </w:pPr>
      <w:r>
        <w:rPr/>
        <w:t xml:space="preserve">At our annual meeting in 2021 we asked for a volunteer(s) to serve as Treasurer. Interested persons can contact Chris, Carol or myself by March 1, 2022. As many of you know, Carol Buriak will be stepping down in the future. She has graciously served for a number of years and we appreciate all she has done, not just as treasurer, but in upkeep of our common areas. By state-imposed regulations we are required to have a minimum of 3 board members. WITHOUT 3 BOARD MEMBERS ON RECORD, WE LOSE OUR POA PRIVILEGES. THESE INCLUDE KEEPING THE BOAT RAMP/DOCK AREA PRIVATE TO OUR NEIGHBORHOOD! The ramp and dock would become state controlled and would be used as a public access point for the lake. The traffic and litter would be unwelcomed. </w:t>
      </w:r>
    </w:p>
    <w:p>
      <w:pPr>
        <w:pStyle w:val="Normal"/>
        <w:rPr/>
      </w:pPr>
      <w:r>
        <w:rPr/>
        <w:t xml:space="preserve">If we are unable to maintain a three-person board of volunteers, another option is to hire a management company. A Management Company would enforce the bylaws of Pleasure Point. Some residents would have to make changes such as: fences, uninspected vehicles, renters, pets etc. Research has shown a minimum cost is $100.00 </w:t>
      </w:r>
      <w:r>
        <w:rPr>
          <w:u w:val="single"/>
        </w:rPr>
        <w:t>per month</w:t>
      </w:r>
      <w:r>
        <w:rPr/>
        <w:t xml:space="preserve"> for each lot in Pleasure Point. This would necessitate the $60 annual fee to increase to $1,260 per lot. </w:t>
      </w:r>
    </w:p>
    <w:p>
      <w:pPr>
        <w:pStyle w:val="Normal"/>
        <w:rPr/>
      </w:pPr>
      <w:r>
        <w:rPr/>
        <w:t xml:space="preserve">As a result, we strongly encourage all property owners to attend this year’s annual meeting! WE NEED TO HAVE MORE PEOPLE INVOLVED. At this meeting we will address the issue of a new Treasurer, create a committee to update our Bylaws, and address the issue of short-term rentals within our development. These important decisions affect you and this is your opportunity to have your voice heard.                  Plan to attend the </w:t>
      </w:r>
      <w:r>
        <w:rPr>
          <w:b/>
          <w:bCs/>
        </w:rPr>
        <w:t>ANNUAL MEETING AT 10 AM ON May 7, 2022</w:t>
      </w:r>
      <w:r>
        <w:rPr/>
        <w:t xml:space="preserve"> at the Boat Ramp.</w:t>
      </w:r>
    </w:p>
    <w:p>
      <w:pPr>
        <w:pStyle w:val="Normal"/>
        <w:rPr/>
      </w:pPr>
      <w:r>
        <w:rPr/>
        <w:t xml:space="preserve">NEW PROPERTY OWNERS: please ensure that the Association has your name and mailing address. Realtors request disclosure material but usually fail to forward ownership information to us. </w:t>
      </w:r>
    </w:p>
    <w:p>
      <w:pPr>
        <w:pStyle w:val="Normal"/>
        <w:rPr/>
      </w:pPr>
      <w:r>
        <w:rPr/>
        <w:t xml:space="preserve">REMINDER: Property Owners are responsible for keeping renters informed of the guidelines in the bylaws. </w:t>
      </w:r>
    </w:p>
    <w:p>
      <w:pPr>
        <w:pStyle w:val="ListParagraph"/>
        <w:numPr>
          <w:ilvl w:val="0"/>
          <w:numId w:val="1"/>
        </w:numPr>
        <w:rPr/>
      </w:pPr>
      <w:r>
        <w:rPr/>
        <w:t xml:space="preserve">If you rent your property, please ensure they are respectful of neighbors.  </w:t>
      </w:r>
    </w:p>
    <w:p>
      <w:pPr>
        <w:pStyle w:val="ListParagraph"/>
        <w:numPr>
          <w:ilvl w:val="0"/>
          <w:numId w:val="1"/>
        </w:numPr>
        <w:rPr/>
      </w:pPr>
      <w:r>
        <w:rPr/>
        <w:t xml:space="preserve">Pets are to be kept on your property or on a leash at all times. </w:t>
      </w:r>
    </w:p>
    <w:p>
      <w:pPr>
        <w:pStyle w:val="ListParagraph"/>
        <w:numPr>
          <w:ilvl w:val="0"/>
          <w:numId w:val="1"/>
        </w:numPr>
        <w:rPr/>
      </w:pPr>
      <w:r>
        <w:rPr/>
        <w:t xml:space="preserve">Provide the board with a contact number to handle complaints                                           </w:t>
      </w:r>
    </w:p>
    <w:p>
      <w:pPr>
        <w:pStyle w:val="Normal"/>
        <w:rPr/>
      </w:pPr>
      <w:r>
        <w:rPr/>
        <w:t xml:space="preserve">If you have an item you would like to add to the agenda, call one of the board members or send an email to:  </w:t>
      </w:r>
      <w:hyperlink r:id="rId2">
        <w:r>
          <w:rPr>
            <w:rStyle w:val="InternetLink"/>
          </w:rPr>
          <w:t>officerspppoa@yahoo.com</w:t>
        </w:r>
      </w:hyperlink>
    </w:p>
    <w:p>
      <w:pPr>
        <w:pStyle w:val="Normal"/>
        <w:jc w:val="center"/>
        <w:rPr/>
      </w:pPr>
      <w:r>
        <w:rPr/>
        <w:t>President: Christopher McTaggart 703-638-2403</w:t>
      </w:r>
    </w:p>
    <w:p>
      <w:pPr>
        <w:pStyle w:val="Normal"/>
        <w:jc w:val="center"/>
        <w:rPr/>
      </w:pPr>
      <w:r>
        <w:rPr/>
        <w:t>Vice President: Joanne Janney 529-0664</w:t>
      </w:r>
    </w:p>
    <w:p>
      <w:pPr>
        <w:pStyle w:val="Normal"/>
        <w:jc w:val="center"/>
        <w:rPr/>
      </w:pPr>
      <w:r>
        <w:rPr/>
      </w:r>
      <w:r>
        <w:br w:type="page"/>
      </w:r>
    </w:p>
    <w:p>
      <w:pPr>
        <w:pStyle w:val="Normal"/>
        <w:rPr>
          <w:b/>
          <w:b/>
          <w:sz w:val="28"/>
          <w:szCs w:val="28"/>
        </w:rPr>
      </w:pPr>
      <w:r>
        <w:rPr>
          <w:b/>
          <w:sz w:val="28"/>
          <w:szCs w:val="28"/>
        </w:rPr>
        <w:t>FINANCIAL STATEMENT 2021</w:t>
      </w:r>
    </w:p>
    <w:p>
      <w:pPr>
        <w:pStyle w:val="Normal"/>
        <w:rPr>
          <w:b/>
          <w:b/>
          <w:sz w:val="24"/>
          <w:szCs w:val="24"/>
        </w:rPr>
      </w:pPr>
      <w:r>
        <w:rPr>
          <w:b/>
          <w:sz w:val="28"/>
          <w:szCs w:val="28"/>
        </w:rPr>
        <w:tab/>
        <w:tab/>
        <w:tab/>
        <w:tab/>
        <w:tab/>
      </w:r>
      <w:r>
        <w:rPr>
          <w:b/>
          <w:sz w:val="24"/>
          <w:szCs w:val="24"/>
        </w:rPr>
        <w:t>Checking</w:t>
        <w:tab/>
        <w:tab/>
        <w:t>Money Market</w:t>
      </w:r>
    </w:p>
    <w:tbl>
      <w:tblPr>
        <w:tblStyle w:val="TableGrid"/>
        <w:tblW w:w="793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91"/>
        <w:gridCol w:w="2406"/>
        <w:gridCol w:w="2341"/>
      </w:tblGrid>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1/1/21 Balance</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4,266.22</w:t>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14,932.94</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Deposits</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5,239.98</w:t>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Interest</w:t>
            </w:r>
          </w:p>
        </w:tc>
        <w:tc>
          <w:tcPr>
            <w:tcW w:w="2406" w:type="dxa"/>
            <w:tcBorders/>
          </w:tcPr>
          <w:p>
            <w:pPr>
              <w:pStyle w:val="Normal"/>
              <w:widowControl/>
              <w:spacing w:lineRule="auto" w:line="240" w:before="0" w:after="0"/>
              <w:jc w:val="left"/>
              <w:rPr>
                <w:sz w:val="24"/>
                <w:szCs w:val="24"/>
              </w:rPr>
            </w:pPr>
            <w:r>
              <w:rPr>
                <w:rFonts w:eastAsia="Calibri" w:cs=""/>
                <w:kern w:val="0"/>
                <w:sz w:val="22"/>
                <w:szCs w:val="22"/>
                <w:lang w:val="en-US" w:eastAsia="en-US" w:bidi="ar-SA"/>
              </w:rPr>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1.55</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Expenses</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3,911.23</w:t>
            </w:r>
          </w:p>
        </w:tc>
        <w:tc>
          <w:tcPr>
            <w:tcW w:w="2341" w:type="dxa"/>
            <w:tcBorders/>
          </w:tcPr>
          <w:p>
            <w:pPr>
              <w:pStyle w:val="Normal"/>
              <w:widowControl/>
              <w:spacing w:lineRule="auto" w:line="240" w:before="0" w:after="0"/>
              <w:jc w:val="left"/>
              <w:rPr>
                <w:sz w:val="24"/>
                <w:szCs w:val="24"/>
              </w:rPr>
            </w:pPr>
            <w:r>
              <w:rPr>
                <w:rFonts w:eastAsia="Calibri" w:cs=""/>
                <w:kern w:val="0"/>
                <w:sz w:val="22"/>
                <w:szCs w:val="22"/>
                <w:lang w:val="en-US" w:eastAsia="en-US" w:bidi="ar-SA"/>
              </w:rPr>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1/01/22 Balance</w:t>
            </w:r>
          </w:p>
        </w:tc>
        <w:tc>
          <w:tcPr>
            <w:tcW w:w="240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5,594.97</w:t>
            </w:r>
          </w:p>
        </w:tc>
        <w:tc>
          <w:tcPr>
            <w:tcW w:w="2341"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16,334.49</w:t>
            </w:r>
          </w:p>
        </w:tc>
      </w:tr>
    </w:tbl>
    <w:p>
      <w:pPr>
        <w:pStyle w:val="Normal"/>
        <w:rPr>
          <w:sz w:val="24"/>
          <w:szCs w:val="24"/>
        </w:rPr>
      </w:pPr>
      <w:r>
        <w:rPr>
          <w:sz w:val="24"/>
          <w:szCs w:val="24"/>
        </w:rPr>
        <w:t xml:space="preserve">(Dues: 81 lots x $60 = $4860.00) </w:t>
      </w:r>
    </w:p>
    <w:p>
      <w:pPr>
        <w:pStyle w:val="Normal"/>
        <w:rPr>
          <w:sz w:val="24"/>
          <w:szCs w:val="24"/>
        </w:rPr>
      </w:pPr>
      <w:r>
        <w:rPr>
          <w:b/>
          <w:sz w:val="24"/>
          <w:szCs w:val="24"/>
        </w:rPr>
        <w:t>Itemized Expense Comparison</w:t>
        <w:tab/>
        <w:t>2018</w:t>
        <w:tab/>
        <w:tab/>
        <w:t xml:space="preserve">   2019</w:t>
        <w:tab/>
        <w:tab/>
        <w:t xml:space="preserve">    20120</w:t>
        <w:tab/>
        <w:t xml:space="preserve">      2021</w:t>
      </w:r>
    </w:p>
    <w:tbl>
      <w:tblPr>
        <w:tblStyle w:val="TableGrid"/>
        <w:tblW w:w="957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91"/>
        <w:gridCol w:w="1597"/>
        <w:gridCol w:w="1596"/>
        <w:gridCol w:w="1595"/>
        <w:gridCol w:w="1597"/>
      </w:tblGrid>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AEP</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123.86</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116.89</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115.39</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114.17</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Mowing</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1353.00</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1353.00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1353.00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1500.00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DPOR*</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20.00</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10.00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50.00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Office Supplies</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89.96</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71.28</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23.22</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53.78</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Postage</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87.41</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71.75</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113.00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98.28</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Credit Collection Services</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Insurance</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624.00</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633.00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Transfer to Money Market</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2800.00</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1400.00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Maintenance</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91.44</w:t>
            </w:r>
          </w:p>
        </w:tc>
        <w:tc>
          <w:tcPr>
            <w:tcW w:w="1596"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1520.73</w:t>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1650.00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r>
      <w:tr>
        <w:trPr/>
        <w:tc>
          <w:tcPr>
            <w:tcW w:w="3191" w:type="dxa"/>
            <w:tcBorders/>
          </w:tcPr>
          <w:p>
            <w:pPr>
              <w:pStyle w:val="Normal"/>
              <w:widowControl/>
              <w:spacing w:lineRule="auto" w:line="240" w:before="0" w:after="0"/>
              <w:jc w:val="left"/>
              <w:rPr>
                <w:sz w:val="24"/>
                <w:szCs w:val="24"/>
              </w:rPr>
            </w:pPr>
            <w:r>
              <w:rPr>
                <w:rFonts w:eastAsia="Calibri" w:cs=""/>
                <w:kern w:val="0"/>
                <w:sz w:val="24"/>
                <w:szCs w:val="24"/>
                <w:lang w:val="en-US" w:eastAsia="en-US" w:bidi="ar-SA"/>
              </w:rPr>
              <w:t>Misc</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20.00</w:t>
            </w:r>
          </w:p>
        </w:tc>
        <w:tc>
          <w:tcPr>
            <w:tcW w:w="1596" w:type="dxa"/>
            <w:tcBorders/>
          </w:tcPr>
          <w:p>
            <w:pPr>
              <w:pStyle w:val="Normal"/>
              <w:widowControl/>
              <w:spacing w:lineRule="auto" w:line="240" w:before="0" w:after="0"/>
              <w:jc w:val="right"/>
              <w:rPr>
                <w:sz w:val="24"/>
                <w:szCs w:val="24"/>
              </w:rPr>
            </w:pPr>
            <w:r>
              <w:rPr>
                <w:rFonts w:eastAsia="Calibri" w:cs=""/>
                <w:kern w:val="0"/>
                <w:sz w:val="22"/>
                <w:szCs w:val="22"/>
                <w:lang w:val="en-US" w:eastAsia="en-US" w:bidi="ar-SA"/>
              </w:rPr>
            </w:r>
          </w:p>
        </w:tc>
        <w:tc>
          <w:tcPr>
            <w:tcW w:w="1595"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109.00</w:t>
            </w:r>
          </w:p>
        </w:tc>
        <w:tc>
          <w:tcPr>
            <w:tcW w:w="1597" w:type="dxa"/>
            <w:tcBorders/>
          </w:tcPr>
          <w:p>
            <w:pPr>
              <w:pStyle w:val="Normal"/>
              <w:widowControl/>
              <w:spacing w:lineRule="auto" w:line="240" w:before="0" w:after="0"/>
              <w:jc w:val="right"/>
              <w:rPr>
                <w:sz w:val="24"/>
                <w:szCs w:val="24"/>
              </w:rPr>
            </w:pPr>
            <w:r>
              <w:rPr>
                <w:rFonts w:eastAsia="Calibri" w:cs=""/>
                <w:kern w:val="0"/>
                <w:sz w:val="24"/>
                <w:szCs w:val="24"/>
                <w:lang w:val="en-US" w:eastAsia="en-US" w:bidi="ar-SA"/>
              </w:rPr>
              <w:t>0</w:t>
            </w:r>
          </w:p>
        </w:tc>
      </w:tr>
      <w:tr>
        <w:trPr/>
        <w:tc>
          <w:tcPr>
            <w:tcW w:w="3191" w:type="dxa"/>
            <w:tcBorders/>
          </w:tcPr>
          <w:p>
            <w:pPr>
              <w:pStyle w:val="Normal"/>
              <w:widowControl/>
              <w:spacing w:lineRule="auto" w:line="240" w:before="0" w:after="0"/>
              <w:jc w:val="left"/>
              <w:rPr>
                <w:sz w:val="24"/>
                <w:szCs w:val="24"/>
              </w:rPr>
            </w:pPr>
            <w:r>
              <w:rPr>
                <w:rFonts w:eastAsia="Calibri" w:cs=""/>
                <w:b/>
                <w:kern w:val="0"/>
                <w:sz w:val="24"/>
                <w:szCs w:val="24"/>
                <w:lang w:val="en-US" w:eastAsia="en-US" w:bidi="ar-SA"/>
              </w:rPr>
              <w:t>Total Expenses</w:t>
            </w:r>
          </w:p>
        </w:tc>
        <w:tc>
          <w:tcPr>
            <w:tcW w:w="1597" w:type="dxa"/>
            <w:tcBorders/>
          </w:tcPr>
          <w:p>
            <w:pPr>
              <w:pStyle w:val="Normal"/>
              <w:widowControl/>
              <w:spacing w:lineRule="auto" w:line="240" w:before="0" w:after="0"/>
              <w:jc w:val="right"/>
              <w:rPr>
                <w:sz w:val="24"/>
                <w:szCs w:val="24"/>
              </w:rPr>
            </w:pPr>
            <w:r>
              <w:rPr>
                <w:rFonts w:eastAsia="Calibri" w:cs=""/>
                <w:b/>
                <w:kern w:val="0"/>
                <w:sz w:val="24"/>
                <w:szCs w:val="24"/>
                <w:lang w:val="en-US" w:eastAsia="en-US" w:bidi="ar-SA"/>
              </w:rPr>
              <w:t>5263.57</w:t>
            </w:r>
          </w:p>
        </w:tc>
        <w:tc>
          <w:tcPr>
            <w:tcW w:w="1596" w:type="dxa"/>
            <w:tcBorders/>
          </w:tcPr>
          <w:p>
            <w:pPr>
              <w:pStyle w:val="Normal"/>
              <w:widowControl/>
              <w:spacing w:lineRule="auto" w:line="240" w:before="0" w:after="0"/>
              <w:jc w:val="right"/>
              <w:rPr>
                <w:sz w:val="24"/>
                <w:szCs w:val="24"/>
              </w:rPr>
            </w:pPr>
            <w:r>
              <w:rPr>
                <w:rFonts w:eastAsia="Calibri" w:cs=""/>
                <w:b/>
                <w:bCs/>
                <w:kern w:val="0"/>
                <w:sz w:val="24"/>
                <w:szCs w:val="24"/>
                <w:lang w:val="en-US" w:eastAsia="en-US" w:bidi="ar-SA"/>
              </w:rPr>
              <w:t>5176.65</w:t>
            </w:r>
          </w:p>
        </w:tc>
        <w:tc>
          <w:tcPr>
            <w:tcW w:w="1595" w:type="dxa"/>
            <w:tcBorders/>
          </w:tcPr>
          <w:p>
            <w:pPr>
              <w:pStyle w:val="Normal"/>
              <w:widowControl/>
              <w:spacing w:lineRule="auto" w:line="240" w:before="0" w:after="0"/>
              <w:jc w:val="right"/>
              <w:rPr>
                <w:sz w:val="24"/>
                <w:szCs w:val="24"/>
              </w:rPr>
            </w:pPr>
            <w:r>
              <w:rPr>
                <w:rFonts w:eastAsia="Calibri" w:cs=""/>
                <w:b/>
                <w:bCs/>
                <w:kern w:val="0"/>
                <w:sz w:val="24"/>
                <w:szCs w:val="24"/>
                <w:lang w:val="en-US" w:eastAsia="en-US" w:bidi="ar-SA"/>
              </w:rPr>
              <w:t>5446.61</w:t>
            </w:r>
          </w:p>
        </w:tc>
        <w:tc>
          <w:tcPr>
            <w:tcW w:w="1597" w:type="dxa"/>
            <w:tcBorders/>
          </w:tcPr>
          <w:p>
            <w:pPr>
              <w:pStyle w:val="Normal"/>
              <w:widowControl/>
              <w:spacing w:lineRule="auto" w:line="240" w:before="0" w:after="0"/>
              <w:jc w:val="right"/>
              <w:rPr>
                <w:b/>
                <w:b/>
                <w:bCs/>
                <w:sz w:val="24"/>
                <w:szCs w:val="24"/>
              </w:rPr>
            </w:pPr>
            <w:r>
              <w:rPr>
                <w:rFonts w:eastAsia="Calibri" w:cs=""/>
                <w:b/>
                <w:bCs/>
                <w:kern w:val="0"/>
                <w:sz w:val="24"/>
                <w:szCs w:val="24"/>
                <w:lang w:val="en-US" w:eastAsia="en-US" w:bidi="ar-SA"/>
              </w:rPr>
              <w:t>3,911.23</w:t>
            </w:r>
          </w:p>
        </w:tc>
      </w:tr>
    </w:tbl>
    <w:p>
      <w:pPr>
        <w:pStyle w:val="Normal"/>
        <w:rPr>
          <w:sz w:val="20"/>
          <w:szCs w:val="20"/>
        </w:rPr>
      </w:pPr>
      <w:r>
        <w:rPr>
          <w:sz w:val="20"/>
          <w:szCs w:val="20"/>
        </w:rPr>
        <w:t>*DPOR – Department of Professional &amp; Occupational Regulation - Virginia POA</w:t>
      </w:r>
    </w:p>
    <w:p>
      <w:pPr>
        <w:pStyle w:val="Normal"/>
        <w:rPr>
          <w:sz w:val="24"/>
          <w:szCs w:val="24"/>
        </w:rPr>
      </w:pPr>
      <w:r>
        <w:rPr>
          <w:sz w:val="20"/>
          <w:szCs w:val="20"/>
        </w:rPr>
        <w:t>Note that the annual transfer of 1,400 to Money Market was neglected in 2017 (transfer occurred in Jan 2018)</w:t>
      </w:r>
    </w:p>
    <w:p>
      <w:pPr>
        <w:pStyle w:val="Normal"/>
        <w:jc w:val="center"/>
        <w:rPr>
          <w:b/>
          <w:b/>
          <w:sz w:val="24"/>
          <w:szCs w:val="24"/>
        </w:rPr>
      </w:pPr>
      <w:r>
        <w:rPr>
          <w:b/>
          <w:sz w:val="24"/>
          <w:szCs w:val="24"/>
        </w:rPr>
        <w:t>Please Remit Dues by March 1, 2022</w:t>
      </w:r>
    </w:p>
    <w:p>
      <w:pPr>
        <w:pStyle w:val="Normal"/>
        <w:spacing w:before="0" w:after="160"/>
        <w:jc w:val="center"/>
        <w:rPr>
          <w:sz w:val="24"/>
          <w:szCs w:val="24"/>
        </w:rPr>
      </w:pPr>
      <w:r>
        <mc:AlternateContent>
          <mc:Choice Requires="wps">
            <w:drawing>
              <wp:anchor behindDoc="0" distT="0" distB="26670" distL="0" distR="22860" simplePos="0" locked="0" layoutInCell="0" allowOverlap="1" relativeHeight="2" wp14:anchorId="3F104EF7">
                <wp:simplePos x="0" y="0"/>
                <wp:positionH relativeFrom="column">
                  <wp:posOffset>-167640</wp:posOffset>
                </wp:positionH>
                <wp:positionV relativeFrom="paragraph">
                  <wp:posOffset>486410</wp:posOffset>
                </wp:positionV>
                <wp:extent cx="6301740" cy="2697480"/>
                <wp:effectExtent l="3175" t="3175" r="3175" b="3175"/>
                <wp:wrapNone/>
                <wp:docPr id="1" name="Text Box 2"/>
                <a:graphic xmlns:a="http://schemas.openxmlformats.org/drawingml/2006/main">
                  <a:graphicData uri="http://schemas.microsoft.com/office/word/2010/wordprocessingShape">
                    <wps:wsp>
                      <wps:cNvSpPr/>
                      <wps:spPr>
                        <a:xfrm>
                          <a:off x="0" y="0"/>
                          <a:ext cx="6301800" cy="2697480"/>
                        </a:xfrm>
                        <a:prstGeom prst="rect">
                          <a:avLst/>
                        </a:prstGeom>
                        <a:solidFill>
                          <a:srgbClr val="ffffff"/>
                        </a:solidFill>
                        <a:ln w="6350">
                          <a:solidFill>
                            <a:srgbClr val="000000"/>
                          </a:solidFill>
                          <a:round/>
                        </a:ln>
                      </wps:spPr>
                      <wps:style>
                        <a:lnRef idx="0"/>
                        <a:fillRef idx="0"/>
                        <a:effectRef idx="0"/>
                        <a:fontRef idx="minor"/>
                      </wps:style>
                      <wps:txbx>
                        <w:txbxContent>
                          <w:p>
                            <w:pPr>
                              <w:pStyle w:val="FrameContents"/>
                              <w:rPr>
                                <w:sz w:val="20"/>
                                <w:szCs w:val="20"/>
                              </w:rPr>
                            </w:pPr>
                            <w:r>
                              <w:rPr>
                                <w:sz w:val="20"/>
                                <w:szCs w:val="20"/>
                              </w:rPr>
                              <w:t>Please return this form with your $60 check or money order (</w:t>
                            </w:r>
                            <w:r>
                              <w:rPr>
                                <w:b/>
                                <w:sz w:val="20"/>
                                <w:szCs w:val="20"/>
                              </w:rPr>
                              <w:t>NO CASH PLEASE)</w:t>
                            </w:r>
                            <w:r>
                              <w:rPr>
                                <w:sz w:val="20"/>
                                <w:szCs w:val="20"/>
                              </w:rPr>
                              <w:t xml:space="preserve"> made payable to </w:t>
                            </w:r>
                            <w:r>
                              <w:rPr>
                                <w:b/>
                                <w:sz w:val="20"/>
                                <w:szCs w:val="20"/>
                              </w:rPr>
                              <w:t>Pleasure Point</w:t>
                            </w:r>
                            <w:r>
                              <w:rPr>
                                <w:sz w:val="20"/>
                                <w:szCs w:val="20"/>
                              </w:rPr>
                              <w:t xml:space="preserve"> </w:t>
                            </w:r>
                            <w:r>
                              <w:rPr>
                                <w:b/>
                                <w:sz w:val="20"/>
                                <w:szCs w:val="20"/>
                              </w:rPr>
                              <w:t>POA</w:t>
                            </w:r>
                            <w:r>
                              <w:rPr>
                                <w:sz w:val="20"/>
                                <w:szCs w:val="20"/>
                              </w:rPr>
                              <w:t xml:space="preserve">.        Fill in </w:t>
                            </w:r>
                            <w:r>
                              <w:rPr>
                                <w:b/>
                                <w:sz w:val="20"/>
                                <w:szCs w:val="20"/>
                              </w:rPr>
                              <w:t>ALL</w:t>
                            </w:r>
                            <w:r>
                              <w:rPr>
                                <w:sz w:val="20"/>
                                <w:szCs w:val="20"/>
                              </w:rPr>
                              <w:t xml:space="preserve"> data to ensure your payment is accurately recorded. Mail to P.O. Box 263, Goodview, VA 24095</w:t>
                            </w:r>
                          </w:p>
                          <w:p>
                            <w:pPr>
                              <w:pStyle w:val="FrameContents"/>
                              <w:rPr/>
                            </w:pPr>
                            <w:r>
                              <w:rPr/>
                              <w:t>LOT# _______________________</w:t>
                              <w:tab/>
                              <w:tab/>
                              <w:tab/>
                              <w:tab/>
                              <w:t>YEAR 2022</w:t>
                            </w:r>
                          </w:p>
                          <w:p>
                            <w:pPr>
                              <w:pStyle w:val="FrameContents"/>
                              <w:rPr/>
                            </w:pPr>
                            <w:r>
                              <w:rPr/>
                              <w:t>AMOUNT ENCLOSED _________________________</w:t>
                            </w:r>
                          </w:p>
                          <w:p>
                            <w:pPr>
                              <w:pStyle w:val="FrameContents"/>
                              <w:rPr/>
                            </w:pPr>
                            <w:r>
                              <w:rPr/>
                              <w:t>NAME _______________________________________________________________________________________</w:t>
                            </w:r>
                          </w:p>
                          <w:p>
                            <w:pPr>
                              <w:pStyle w:val="FrameContents"/>
                              <w:rPr/>
                            </w:pPr>
                            <w:r>
                              <w:rPr/>
                              <w:t>LAKE ADDRESS _________________________________________________________________________________</w:t>
                            </w:r>
                          </w:p>
                          <w:p>
                            <w:pPr>
                              <w:pStyle w:val="FrameContents"/>
                              <w:rPr/>
                            </w:pPr>
                            <w:r>
                              <w:rPr/>
                              <w:t>MAILING ADDRESS (if different) ___________________________________________________________________</w:t>
                            </w:r>
                          </w:p>
                          <w:p>
                            <w:pPr>
                              <w:pStyle w:val="FrameContents"/>
                              <w:rPr/>
                            </w:pPr>
                            <w:r>
                              <w:rPr/>
                              <w:t>EMAIL ADDRESS ________________________________________________________________________________</w:t>
                            </w:r>
                          </w:p>
                          <w:p>
                            <w:pPr>
                              <w:pStyle w:val="FrameContents"/>
                              <w:rPr/>
                            </w:pPr>
                            <w:r>
                              <w:rPr/>
                              <w:t>PHONE:______________</w:t>
                            </w:r>
                          </w:p>
                          <w:p>
                            <w:pPr>
                              <w:pStyle w:val="FrameContents"/>
                              <w:spacing w:before="0" w:after="160"/>
                              <w:rPr/>
                            </w:pPr>
                            <w:r>
                              <w:rPr/>
                            </w:r>
                          </w:p>
                        </w:txbxContent>
                      </wps:txbx>
                      <wps:bodyPr anchor="t">
                        <a:prstTxWarp prst="textNoShape"/>
                        <a:noAutofit/>
                      </wps:bodyPr>
                    </wps:wsp>
                  </a:graphicData>
                </a:graphic>
              </wp:anchor>
            </w:drawing>
          </mc:Choice>
          <mc:Fallback>
            <w:pict>
              <v:rect id="shape_0" ID="Text Box 2" path="m0,0l-2147483645,0l-2147483645,-2147483646l0,-2147483646xe" fillcolor="white" stroked="t" o:allowincell="f" style="position:absolute;margin-left:-13.2pt;margin-top:38.3pt;width:496.15pt;height:212.35pt;mso-wrap-style:square;v-text-anchor:top" wp14:anchorId="3F104EF7">
                <v:fill o:detectmouseclick="t" type="solid" color2="black"/>
                <v:stroke color="black" weight="6480" joinstyle="round" endcap="flat"/>
                <v:textbox>
                  <w:txbxContent>
                    <w:p>
                      <w:pPr>
                        <w:pStyle w:val="FrameContents"/>
                        <w:rPr>
                          <w:sz w:val="20"/>
                          <w:szCs w:val="20"/>
                        </w:rPr>
                      </w:pPr>
                      <w:r>
                        <w:rPr>
                          <w:sz w:val="20"/>
                          <w:szCs w:val="20"/>
                        </w:rPr>
                        <w:t>Please return this form with your $60 check or money order (</w:t>
                      </w:r>
                      <w:r>
                        <w:rPr>
                          <w:b/>
                          <w:sz w:val="20"/>
                          <w:szCs w:val="20"/>
                        </w:rPr>
                        <w:t>NO CASH PLEASE)</w:t>
                      </w:r>
                      <w:r>
                        <w:rPr>
                          <w:sz w:val="20"/>
                          <w:szCs w:val="20"/>
                        </w:rPr>
                        <w:t xml:space="preserve"> made payable to </w:t>
                      </w:r>
                      <w:r>
                        <w:rPr>
                          <w:b/>
                          <w:sz w:val="20"/>
                          <w:szCs w:val="20"/>
                        </w:rPr>
                        <w:t>Pleasure Point</w:t>
                      </w:r>
                      <w:r>
                        <w:rPr>
                          <w:sz w:val="20"/>
                          <w:szCs w:val="20"/>
                        </w:rPr>
                        <w:t xml:space="preserve"> </w:t>
                      </w:r>
                      <w:r>
                        <w:rPr>
                          <w:b/>
                          <w:sz w:val="20"/>
                          <w:szCs w:val="20"/>
                        </w:rPr>
                        <w:t>POA</w:t>
                      </w:r>
                      <w:r>
                        <w:rPr>
                          <w:sz w:val="20"/>
                          <w:szCs w:val="20"/>
                        </w:rPr>
                        <w:t xml:space="preserve">.        Fill in </w:t>
                      </w:r>
                      <w:r>
                        <w:rPr>
                          <w:b/>
                          <w:sz w:val="20"/>
                          <w:szCs w:val="20"/>
                        </w:rPr>
                        <w:t>ALL</w:t>
                      </w:r>
                      <w:r>
                        <w:rPr>
                          <w:sz w:val="20"/>
                          <w:szCs w:val="20"/>
                        </w:rPr>
                        <w:t xml:space="preserve"> data to ensure your payment is accurately recorded. Mail to P.O. Box 263, Goodview, VA 24095</w:t>
                      </w:r>
                    </w:p>
                    <w:p>
                      <w:pPr>
                        <w:pStyle w:val="FrameContents"/>
                        <w:rPr/>
                      </w:pPr>
                      <w:r>
                        <w:rPr/>
                        <w:t>LOT# _______________________</w:t>
                        <w:tab/>
                        <w:tab/>
                        <w:tab/>
                        <w:tab/>
                        <w:t>YEAR 2022</w:t>
                      </w:r>
                    </w:p>
                    <w:p>
                      <w:pPr>
                        <w:pStyle w:val="FrameContents"/>
                        <w:rPr/>
                      </w:pPr>
                      <w:r>
                        <w:rPr/>
                        <w:t>AMOUNT ENCLOSED _________________________</w:t>
                      </w:r>
                    </w:p>
                    <w:p>
                      <w:pPr>
                        <w:pStyle w:val="FrameContents"/>
                        <w:rPr/>
                      </w:pPr>
                      <w:r>
                        <w:rPr/>
                        <w:t>NAME _______________________________________________________________________________________</w:t>
                      </w:r>
                    </w:p>
                    <w:p>
                      <w:pPr>
                        <w:pStyle w:val="FrameContents"/>
                        <w:rPr/>
                      </w:pPr>
                      <w:r>
                        <w:rPr/>
                        <w:t>LAKE ADDRESS _________________________________________________________________________________</w:t>
                      </w:r>
                    </w:p>
                    <w:p>
                      <w:pPr>
                        <w:pStyle w:val="FrameContents"/>
                        <w:rPr/>
                      </w:pPr>
                      <w:r>
                        <w:rPr/>
                        <w:t>MAILING ADDRESS (if different) ___________________________________________________________________</w:t>
                      </w:r>
                    </w:p>
                    <w:p>
                      <w:pPr>
                        <w:pStyle w:val="FrameContents"/>
                        <w:rPr/>
                      </w:pPr>
                      <w:r>
                        <w:rPr/>
                        <w:t>EMAIL ADDRESS ________________________________________________________________________________</w:t>
                      </w:r>
                    </w:p>
                    <w:p>
                      <w:pPr>
                        <w:pStyle w:val="FrameContents"/>
                        <w:rPr/>
                      </w:pPr>
                      <w:r>
                        <w:rPr/>
                        <w:t>PHONE:______________</w:t>
                      </w:r>
                    </w:p>
                    <w:p>
                      <w:pPr>
                        <w:pStyle w:val="FrameContents"/>
                        <w:spacing w:before="0" w:after="160"/>
                        <w:rPr/>
                      </w:pPr>
                      <w:r>
                        <w:rPr/>
                      </w:r>
                    </w:p>
                  </w:txbxContent>
                </v:textbox>
                <w10:wrap type="none"/>
              </v:rect>
            </w:pict>
          </mc:Fallback>
        </mc:AlternateContent>
      </w:r>
      <w:r>
        <w:rPr>
          <w:b/>
          <w:sz w:val="24"/>
          <w:szCs w:val="24"/>
        </w:rPr>
        <w:t>-------------------------------------------------------------------------------------------------------------------------------</w:t>
      </w:r>
    </w:p>
    <w:sectPr>
      <w:headerReference w:type="default" r:id="rId3"/>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left w:val="single" w:sz="12" w:space="11" w:color="4472C4"/>
      </w:pBdr>
      <w:tabs>
        <w:tab w:val="clear" w:pos="720"/>
        <w:tab w:val="left" w:pos="3620" w:leader="none"/>
        <w:tab w:val="left" w:pos="3964" w:leader="none"/>
      </w:tabs>
      <w:spacing w:before="0" w:after="0"/>
      <w:rPr>
        <w:rFonts w:ascii="Calibri Light" w:hAnsi="Calibri Light" w:eastAsia="" w:cs="" w:asciiTheme="majorHAnsi" w:cstheme="majorBidi" w:eastAsiaTheme="majorEastAsia" w:hAnsiTheme="majorHAnsi"/>
        <w:color w:val="2F5496" w:themeColor="accent1" w:themeShade="bf"/>
        <w:sz w:val="26"/>
        <w:szCs w:val="26"/>
      </w:rPr>
    </w:pPr>
    <w:sdt>
      <w:sdtPr>
        <w:id w:val="1490782323"/>
        <w:dataBinding w:prefixMappings="xmlns:ns0='http://purl.org/dc/elements/1.1/' xmlns:ns1='http://schemas.openxmlformats.org/package/2006/metadata/core-properties' " w:xpath="/ns1:coreProperties[1]/ns0:title[1]" w:storeItemID="{6C3C8BC8-F283-45AE-878A-BAB7291924A1}"/>
        <w:placeholder>
          <w:docPart w:val="35252FBFC8DD4C8499EC7E12727939B4"/>
        </w:placeholder>
        <w:alias w:val="Title"/>
        <w:text/>
      </w:sdtPr>
      <w:sdtContent>
        <w:r>
          <w:rPr/>
          <w:t>PPPOA JANUARY NEWSLETTER AND ASSESSMENT      2022</w:t>
        </w:r>
      </w:sdtContent>
    </w:sdt>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799" w:hanging="360"/>
      </w:pPr>
      <w:rPr>
        <w:rFonts w:ascii="Courier New" w:hAnsi="Courier New" w:cs="Courier New" w:hint="default"/>
      </w:rPr>
    </w:lvl>
    <w:lvl w:ilvl="2">
      <w:start w:val="1"/>
      <w:numFmt w:val="bullet"/>
      <w:lvlText w:val=""/>
      <w:lvlJc w:val="left"/>
      <w:pPr>
        <w:tabs>
          <w:tab w:val="num" w:pos="0"/>
        </w:tabs>
        <w:ind w:left="2519" w:hanging="360"/>
      </w:pPr>
      <w:rPr>
        <w:rFonts w:ascii="Wingdings" w:hAnsi="Wingdings" w:cs="Wingdings" w:hint="default"/>
      </w:rPr>
    </w:lvl>
    <w:lvl w:ilvl="3">
      <w:start w:val="1"/>
      <w:numFmt w:val="bullet"/>
      <w:lvlText w:val=""/>
      <w:lvlJc w:val="left"/>
      <w:pPr>
        <w:tabs>
          <w:tab w:val="num" w:pos="0"/>
        </w:tabs>
        <w:ind w:left="3239" w:hanging="360"/>
      </w:pPr>
      <w:rPr>
        <w:rFonts w:ascii="Symbol" w:hAnsi="Symbol" w:cs="Symbol" w:hint="default"/>
      </w:rPr>
    </w:lvl>
    <w:lvl w:ilvl="4">
      <w:start w:val="1"/>
      <w:numFmt w:val="bullet"/>
      <w:lvlText w:val="o"/>
      <w:lvlJc w:val="left"/>
      <w:pPr>
        <w:tabs>
          <w:tab w:val="num" w:pos="0"/>
        </w:tabs>
        <w:ind w:left="3959" w:hanging="360"/>
      </w:pPr>
      <w:rPr>
        <w:rFonts w:ascii="Courier New" w:hAnsi="Courier New" w:cs="Courier New" w:hint="default"/>
      </w:rPr>
    </w:lvl>
    <w:lvl w:ilvl="5">
      <w:start w:val="1"/>
      <w:numFmt w:val="bullet"/>
      <w:lvlText w:val=""/>
      <w:lvlJc w:val="left"/>
      <w:pPr>
        <w:tabs>
          <w:tab w:val="num" w:pos="0"/>
        </w:tabs>
        <w:ind w:left="4679" w:hanging="360"/>
      </w:pPr>
      <w:rPr>
        <w:rFonts w:ascii="Wingdings" w:hAnsi="Wingdings" w:cs="Wingdings" w:hint="default"/>
      </w:rPr>
    </w:lvl>
    <w:lvl w:ilvl="6">
      <w:start w:val="1"/>
      <w:numFmt w:val="bullet"/>
      <w:lvlText w:val=""/>
      <w:lvlJc w:val="left"/>
      <w:pPr>
        <w:tabs>
          <w:tab w:val="num" w:pos="0"/>
        </w:tabs>
        <w:ind w:left="5399" w:hanging="360"/>
      </w:pPr>
      <w:rPr>
        <w:rFonts w:ascii="Symbol" w:hAnsi="Symbol" w:cs="Symbol" w:hint="default"/>
      </w:rPr>
    </w:lvl>
    <w:lvl w:ilvl="7">
      <w:start w:val="1"/>
      <w:numFmt w:val="bullet"/>
      <w:lvlText w:val="o"/>
      <w:lvlJc w:val="left"/>
      <w:pPr>
        <w:tabs>
          <w:tab w:val="num" w:pos="0"/>
        </w:tabs>
        <w:ind w:left="6119" w:hanging="360"/>
      </w:pPr>
      <w:rPr>
        <w:rFonts w:ascii="Courier New" w:hAnsi="Courier New" w:cs="Courier New" w:hint="default"/>
      </w:rPr>
    </w:lvl>
    <w:lvl w:ilvl="8">
      <w:start w:val="1"/>
      <w:numFmt w:val="bullet"/>
      <w:lvlText w:val=""/>
      <w:lvlJc w:val="left"/>
      <w:pPr>
        <w:tabs>
          <w:tab w:val="num" w:pos="0"/>
        </w:tabs>
        <w:ind w:left="683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e0ef0"/>
    <w:rPr>
      <w:color w:val="0563C1" w:themeColor="hyperlink"/>
      <w:u w:val="single"/>
    </w:rPr>
  </w:style>
  <w:style w:type="character" w:styleId="HeaderChar" w:customStyle="1">
    <w:name w:val="Header Char"/>
    <w:basedOn w:val="DefaultParagraphFont"/>
    <w:link w:val="Header"/>
    <w:uiPriority w:val="99"/>
    <w:qFormat/>
    <w:rsid w:val="00044b4e"/>
    <w:rPr/>
  </w:style>
  <w:style w:type="character" w:styleId="FooterChar" w:customStyle="1">
    <w:name w:val="Footer Char"/>
    <w:basedOn w:val="DefaultParagraphFont"/>
    <w:link w:val="Footer"/>
    <w:uiPriority w:val="99"/>
    <w:qFormat/>
    <w:rsid w:val="00044b4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044b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44b4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44b4e"/>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rspppoa@yahoo.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52FBFC8DD4C8499EC7E12727939B4"/>
        <w:category>
          <w:name w:val="General"/>
          <w:gallery w:val="placeholder"/>
        </w:category>
        <w:types>
          <w:type w:val="bbPlcHdr"/>
        </w:types>
        <w:behaviors>
          <w:behavior w:val="content"/>
        </w:behaviors>
        <w:guid w:val="{706C9B2A-2173-460E-9830-DF8E2C7BA82E}"/>
      </w:docPartPr>
      <w:docPartBody>
        <w:p w:rsidR="00000000" w:rsidRDefault="00A431DB" w:rsidP="00A431DB">
          <w:pPr>
            <w:pStyle w:val="35252FBFC8DD4C8499EC7E12727939B4"/>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B"/>
    <w:rsid w:val="006A34EF"/>
    <w:rsid w:val="00A4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52FBFC8DD4C8499EC7E12727939B4">
    <w:name w:val="35252FBFC8DD4C8499EC7E12727939B4"/>
    <w:rsid w:val="00A4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2</Pages>
  <Words>662</Words>
  <Characters>3742</Characters>
  <CharactersWithSpaces>4410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2022-01-22T20:34:00Z</dcterms:created>
  <dc:creator>Buriak, James</dc:creator>
  <dc:description/>
  <dc:language>en-US</dc:language>
  <cp:lastModifiedBy/>
  <dcterms:modified xsi:type="dcterms:W3CDTF">2022-12-29T06:32:14Z</dcterms:modified>
  <cp:revision>3</cp:revision>
  <dc:subject/>
  <dc:title>PPPOA JANUARY NEWSLETTER AND ASSESSMENT      2022</dc:title>
</cp:coreProperties>
</file>

<file path=docProps/custom.xml><?xml version="1.0" encoding="utf-8"?>
<Properties xmlns="http://schemas.openxmlformats.org/officeDocument/2006/custom-properties" xmlns:vt="http://schemas.openxmlformats.org/officeDocument/2006/docPropsVTypes"/>
</file>